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BDA4FED" w:rsidR="004746DA" w:rsidRPr="00511E93" w:rsidRDefault="0069459B" w:rsidP="0044657D">
      <w:pPr>
        <w:pStyle w:val="NoSpacing"/>
        <w:jc w:val="center"/>
        <w:rPr>
          <w:rFonts w:asciiTheme="majorHAnsi" w:hAnsiTheme="majorHAnsi" w:cstheme="majorHAnsi"/>
        </w:rPr>
      </w:pPr>
      <w:r w:rsidRPr="00511E93">
        <w:rPr>
          <w:rFonts w:asciiTheme="majorHAnsi" w:hAnsiTheme="majorHAnsi" w:cstheme="majorHAnsi"/>
        </w:rPr>
        <w:t>ASCC Race, Ethnic</w:t>
      </w:r>
      <w:r w:rsidR="00F329E0" w:rsidRPr="00511E93">
        <w:rPr>
          <w:rFonts w:asciiTheme="majorHAnsi" w:hAnsiTheme="majorHAnsi" w:cstheme="majorHAnsi"/>
        </w:rPr>
        <w:t>ity</w:t>
      </w:r>
      <w:r w:rsidRPr="00511E93">
        <w:rPr>
          <w:rFonts w:asciiTheme="majorHAnsi" w:hAnsiTheme="majorHAnsi" w:cstheme="majorHAnsi"/>
        </w:rPr>
        <w:t>, and Gender Diversity Panel</w:t>
      </w:r>
    </w:p>
    <w:p w14:paraId="00000002" w14:textId="693DB0D8" w:rsidR="004746DA" w:rsidRPr="00511E93" w:rsidRDefault="001D53A3" w:rsidP="0044657D">
      <w:pPr>
        <w:pStyle w:val="NoSpacing"/>
        <w:jc w:val="center"/>
        <w:rPr>
          <w:rFonts w:asciiTheme="majorHAnsi" w:hAnsiTheme="majorHAnsi" w:cstheme="majorHAnsi"/>
        </w:rPr>
      </w:pPr>
      <w:r>
        <w:rPr>
          <w:rFonts w:asciiTheme="majorHAnsi" w:hAnsiTheme="majorHAnsi" w:cstheme="majorHAnsi"/>
        </w:rPr>
        <w:t>A</w:t>
      </w:r>
      <w:r w:rsidR="00E3301C">
        <w:rPr>
          <w:rFonts w:asciiTheme="majorHAnsi" w:hAnsiTheme="majorHAnsi" w:cstheme="majorHAnsi"/>
        </w:rPr>
        <w:t xml:space="preserve">pproved </w:t>
      </w:r>
      <w:r w:rsidR="0069459B" w:rsidRPr="00511E93">
        <w:rPr>
          <w:rFonts w:asciiTheme="majorHAnsi" w:hAnsiTheme="majorHAnsi" w:cstheme="majorHAnsi"/>
        </w:rPr>
        <w:t>Minutes</w:t>
      </w:r>
    </w:p>
    <w:p w14:paraId="00000003" w14:textId="2832BDE6" w:rsidR="004746DA" w:rsidRPr="00511E93" w:rsidRDefault="000003E6" w:rsidP="0044657D">
      <w:pPr>
        <w:pStyle w:val="NoSpacing"/>
        <w:rPr>
          <w:rFonts w:asciiTheme="majorHAnsi" w:hAnsiTheme="majorHAnsi" w:cstheme="majorHAnsi"/>
        </w:rPr>
      </w:pPr>
      <w:r w:rsidRPr="00511E93">
        <w:rPr>
          <w:rFonts w:asciiTheme="majorHAnsi" w:hAnsiTheme="majorHAnsi" w:cstheme="majorHAnsi"/>
        </w:rPr>
        <w:t>T</w:t>
      </w:r>
      <w:r w:rsidR="00997A7B" w:rsidRPr="00511E93">
        <w:rPr>
          <w:rFonts w:asciiTheme="majorHAnsi" w:hAnsiTheme="majorHAnsi" w:cstheme="majorHAnsi"/>
        </w:rPr>
        <w:t>uesday</w:t>
      </w:r>
      <w:r w:rsidRPr="00511E93">
        <w:rPr>
          <w:rFonts w:asciiTheme="majorHAnsi" w:hAnsiTheme="majorHAnsi" w:cstheme="majorHAnsi"/>
        </w:rPr>
        <w:t xml:space="preserve">, October </w:t>
      </w:r>
      <w:r w:rsidR="00997A7B" w:rsidRPr="00511E93">
        <w:rPr>
          <w:rFonts w:asciiTheme="majorHAnsi" w:hAnsiTheme="majorHAnsi" w:cstheme="majorHAnsi"/>
        </w:rPr>
        <w:t>19</w:t>
      </w:r>
      <w:r w:rsidRPr="00511E93">
        <w:rPr>
          <w:rFonts w:asciiTheme="majorHAnsi" w:hAnsiTheme="majorHAnsi" w:cstheme="majorHAnsi"/>
        </w:rPr>
        <w:t>th</w:t>
      </w:r>
      <w:r w:rsidR="0069459B" w:rsidRPr="00511E93">
        <w:rPr>
          <w:rFonts w:asciiTheme="majorHAnsi" w:hAnsiTheme="majorHAnsi" w:cstheme="majorHAnsi"/>
        </w:rPr>
        <w:t xml:space="preserve">, 2021                                                                     </w:t>
      </w:r>
      <w:r w:rsidRPr="00511E93">
        <w:rPr>
          <w:rFonts w:asciiTheme="majorHAnsi" w:hAnsiTheme="majorHAnsi" w:cstheme="majorHAnsi"/>
        </w:rPr>
        <w:t>12:00 PM – 1:30 PM</w:t>
      </w:r>
    </w:p>
    <w:p w14:paraId="053870F7" w14:textId="77777777" w:rsidR="0044657D" w:rsidRPr="00511E93" w:rsidRDefault="0044657D" w:rsidP="0044657D">
      <w:pPr>
        <w:pStyle w:val="NoSpacing"/>
        <w:rPr>
          <w:rFonts w:asciiTheme="majorHAnsi" w:hAnsiTheme="majorHAnsi" w:cstheme="majorHAnsi"/>
        </w:rPr>
      </w:pPr>
    </w:p>
    <w:p w14:paraId="00000004" w14:textId="38F0208B" w:rsidR="004746DA" w:rsidRPr="00511E93" w:rsidRDefault="0069459B" w:rsidP="0044657D">
      <w:pPr>
        <w:pStyle w:val="NoSpacing"/>
        <w:rPr>
          <w:rFonts w:asciiTheme="majorHAnsi" w:hAnsiTheme="majorHAnsi" w:cstheme="majorHAnsi"/>
        </w:rPr>
      </w:pPr>
      <w:r w:rsidRPr="00511E93">
        <w:rPr>
          <w:rFonts w:asciiTheme="majorHAnsi" w:hAnsiTheme="majorHAnsi" w:cstheme="majorHAnsi"/>
        </w:rPr>
        <w:t>Carmen</w:t>
      </w:r>
      <w:r w:rsidR="00DC6D7A" w:rsidRPr="00511E93">
        <w:rPr>
          <w:rFonts w:asciiTheme="majorHAnsi" w:hAnsiTheme="majorHAnsi" w:cstheme="majorHAnsi"/>
        </w:rPr>
        <w:t xml:space="preserve"> </w:t>
      </w:r>
      <w:r w:rsidRPr="00511E93">
        <w:rPr>
          <w:rFonts w:asciiTheme="majorHAnsi" w:hAnsiTheme="majorHAnsi" w:cstheme="majorHAnsi"/>
        </w:rPr>
        <w:t>Zoom</w:t>
      </w:r>
    </w:p>
    <w:p w14:paraId="60F7D56F" w14:textId="77777777" w:rsidR="0044657D" w:rsidRPr="00511E93" w:rsidRDefault="0044657D" w:rsidP="0044657D">
      <w:pPr>
        <w:pStyle w:val="NoSpacing"/>
        <w:rPr>
          <w:rFonts w:asciiTheme="majorHAnsi" w:hAnsiTheme="majorHAnsi" w:cstheme="majorHAnsi"/>
        </w:rPr>
      </w:pPr>
    </w:p>
    <w:p w14:paraId="00000005" w14:textId="7F8E6955" w:rsidR="004746DA" w:rsidRPr="00511E93" w:rsidRDefault="0069459B" w:rsidP="0044657D">
      <w:pPr>
        <w:pStyle w:val="NoSpacing"/>
        <w:rPr>
          <w:rFonts w:asciiTheme="majorHAnsi" w:hAnsiTheme="majorHAnsi" w:cstheme="majorHAnsi"/>
        </w:rPr>
      </w:pPr>
      <w:r w:rsidRPr="00511E93">
        <w:rPr>
          <w:rFonts w:asciiTheme="majorHAnsi" w:hAnsiTheme="majorHAnsi" w:cstheme="majorHAnsi"/>
        </w:rPr>
        <w:t xml:space="preserve">Attendees: </w:t>
      </w:r>
      <w:r w:rsidR="000756F9" w:rsidRPr="00511E93">
        <w:rPr>
          <w:rFonts w:asciiTheme="majorHAnsi" w:hAnsiTheme="majorHAnsi" w:cstheme="majorHAnsi"/>
        </w:rPr>
        <w:t>Abrams,</w:t>
      </w:r>
      <w:r w:rsidR="000D534F" w:rsidRPr="00511E93">
        <w:rPr>
          <w:rFonts w:asciiTheme="majorHAnsi" w:hAnsiTheme="majorHAnsi" w:cstheme="majorHAnsi"/>
        </w:rPr>
        <w:t xml:space="preserve"> Fletcher,</w:t>
      </w:r>
      <w:r w:rsidR="000756F9" w:rsidRPr="00511E93">
        <w:rPr>
          <w:rFonts w:asciiTheme="majorHAnsi" w:hAnsiTheme="majorHAnsi" w:cstheme="majorHAnsi"/>
        </w:rPr>
        <w:t xml:space="preserve"> Hilty, </w:t>
      </w:r>
      <w:r w:rsidR="000D534F" w:rsidRPr="00511E93">
        <w:rPr>
          <w:rFonts w:asciiTheme="majorHAnsi" w:hAnsiTheme="majorHAnsi" w:cstheme="majorHAnsi"/>
        </w:rPr>
        <w:t xml:space="preserve">Ponce, Price-Spratlen, </w:t>
      </w:r>
      <w:r w:rsidR="000756F9" w:rsidRPr="00511E93">
        <w:rPr>
          <w:rFonts w:asciiTheme="majorHAnsi" w:hAnsiTheme="majorHAnsi" w:cstheme="majorHAnsi"/>
        </w:rPr>
        <w:t>Steele</w:t>
      </w:r>
      <w:r w:rsidR="000D534F" w:rsidRPr="00511E93">
        <w:rPr>
          <w:rFonts w:asciiTheme="majorHAnsi" w:hAnsiTheme="majorHAnsi" w:cstheme="majorHAnsi"/>
        </w:rPr>
        <w:t>, Vankeerbergen</w:t>
      </w:r>
    </w:p>
    <w:p w14:paraId="5FA8B0A5" w14:textId="6F1D5620" w:rsidR="0044657D" w:rsidRPr="00511E93" w:rsidRDefault="0044657D" w:rsidP="0044657D">
      <w:pPr>
        <w:pStyle w:val="NoSpacing"/>
        <w:rPr>
          <w:rFonts w:asciiTheme="majorHAnsi" w:hAnsiTheme="majorHAnsi" w:cstheme="majorHAnsi"/>
        </w:rPr>
      </w:pPr>
    </w:p>
    <w:p w14:paraId="537DFD77" w14:textId="77777777" w:rsidR="00DC6D7A" w:rsidRPr="00511E93" w:rsidRDefault="00DC6D7A" w:rsidP="0044657D">
      <w:pPr>
        <w:pStyle w:val="NoSpacing"/>
        <w:rPr>
          <w:rFonts w:asciiTheme="majorHAnsi" w:hAnsiTheme="majorHAnsi" w:cstheme="majorHAnsi"/>
        </w:rPr>
      </w:pPr>
    </w:p>
    <w:p w14:paraId="00000006" w14:textId="1EC3FC09" w:rsidR="004746DA" w:rsidRPr="00511E93" w:rsidRDefault="0069459B" w:rsidP="00DC6D7A">
      <w:pPr>
        <w:pStyle w:val="NoSpacing"/>
        <w:jc w:val="center"/>
        <w:rPr>
          <w:rFonts w:asciiTheme="majorHAnsi" w:hAnsiTheme="majorHAnsi" w:cstheme="majorHAnsi"/>
          <w:b/>
          <w:bCs/>
        </w:rPr>
      </w:pPr>
      <w:r w:rsidRPr="00511E93">
        <w:rPr>
          <w:rFonts w:asciiTheme="majorHAnsi" w:hAnsiTheme="majorHAnsi" w:cstheme="majorHAnsi"/>
          <w:b/>
          <w:bCs/>
        </w:rPr>
        <w:t>Agenda</w:t>
      </w:r>
    </w:p>
    <w:p w14:paraId="2AB84C88" w14:textId="26398C8C" w:rsidR="00256181" w:rsidRPr="00511E93" w:rsidRDefault="00256181" w:rsidP="00256181">
      <w:pPr>
        <w:numPr>
          <w:ilvl w:val="0"/>
          <w:numId w:val="15"/>
        </w:numPr>
        <w:spacing w:line="240" w:lineRule="auto"/>
        <w:rPr>
          <w:rFonts w:asciiTheme="majorHAnsi" w:hAnsiTheme="majorHAnsi" w:cstheme="majorHAnsi"/>
          <w:lang w:val="en-US"/>
        </w:rPr>
      </w:pPr>
      <w:r w:rsidRPr="00511E93">
        <w:rPr>
          <w:rFonts w:asciiTheme="majorHAnsi" w:hAnsiTheme="majorHAnsi" w:cstheme="majorHAnsi"/>
          <w:lang w:val="en-US"/>
        </w:rPr>
        <w:t>Approval of 10-7-21 minutes</w:t>
      </w:r>
    </w:p>
    <w:p w14:paraId="08D1B041" w14:textId="59044F79" w:rsidR="00437942" w:rsidRPr="00511E93" w:rsidRDefault="00437942" w:rsidP="00437942">
      <w:pPr>
        <w:numPr>
          <w:ilvl w:val="1"/>
          <w:numId w:val="15"/>
        </w:numPr>
        <w:spacing w:line="240" w:lineRule="auto"/>
        <w:rPr>
          <w:rFonts w:asciiTheme="majorHAnsi" w:hAnsiTheme="majorHAnsi" w:cstheme="majorHAnsi"/>
          <w:lang w:val="en-US"/>
        </w:rPr>
      </w:pPr>
      <w:r w:rsidRPr="00511E93">
        <w:rPr>
          <w:rFonts w:asciiTheme="majorHAnsi" w:hAnsiTheme="majorHAnsi" w:cstheme="majorHAnsi"/>
          <w:lang w:val="en-US"/>
        </w:rPr>
        <w:t>Abrams, Ponce; approved w/ one abstention</w:t>
      </w:r>
    </w:p>
    <w:p w14:paraId="58FB27BD" w14:textId="1569AC54" w:rsidR="00256181" w:rsidRPr="00511E93" w:rsidRDefault="00256181" w:rsidP="00256181">
      <w:pPr>
        <w:numPr>
          <w:ilvl w:val="0"/>
          <w:numId w:val="15"/>
        </w:numPr>
        <w:spacing w:line="240" w:lineRule="auto"/>
        <w:rPr>
          <w:rFonts w:asciiTheme="majorHAnsi" w:hAnsiTheme="majorHAnsi" w:cstheme="majorHAnsi"/>
          <w:lang w:val="en-US"/>
        </w:rPr>
      </w:pPr>
      <w:r w:rsidRPr="00511E93">
        <w:rPr>
          <w:rFonts w:asciiTheme="majorHAnsi" w:hAnsiTheme="majorHAnsi" w:cstheme="majorHAnsi"/>
          <w:lang w:val="en-US"/>
        </w:rPr>
        <w:t>English and AAAS 2281 (existing cross-listed courses with GE Literature &amp; Diversity-Social Diversity in the U.S.; will be new GE Foundation: LVPA; requesting new GE Foundation: REGD)</w:t>
      </w:r>
    </w:p>
    <w:p w14:paraId="33150A8F" w14:textId="478A429C" w:rsidR="00F329E0" w:rsidRPr="00DF5744" w:rsidRDefault="00F329E0" w:rsidP="00437942">
      <w:pPr>
        <w:numPr>
          <w:ilvl w:val="1"/>
          <w:numId w:val="15"/>
        </w:numPr>
        <w:spacing w:line="240" w:lineRule="auto"/>
        <w:rPr>
          <w:rFonts w:asciiTheme="majorHAnsi" w:hAnsiTheme="majorHAnsi" w:cstheme="majorHAnsi"/>
          <w:lang w:val="en-US"/>
        </w:rPr>
      </w:pPr>
      <w:r w:rsidRPr="00511E93">
        <w:rPr>
          <w:rFonts w:asciiTheme="majorHAnsi" w:hAnsiTheme="majorHAnsi" w:cstheme="majorHAnsi"/>
          <w:b/>
          <w:bCs/>
          <w:lang w:val="en-US"/>
        </w:rPr>
        <w:t>The Panel asks that the department</w:t>
      </w:r>
      <w:r w:rsidR="00511E93">
        <w:rPr>
          <w:rFonts w:asciiTheme="majorHAnsi" w:hAnsiTheme="majorHAnsi" w:cstheme="majorHAnsi"/>
          <w:b/>
          <w:bCs/>
          <w:lang w:val="en-US"/>
        </w:rPr>
        <w:t>s</w:t>
      </w:r>
      <w:r w:rsidRPr="00511E93">
        <w:rPr>
          <w:rFonts w:asciiTheme="majorHAnsi" w:hAnsiTheme="majorHAnsi" w:cstheme="majorHAnsi"/>
          <w:b/>
          <w:bCs/>
          <w:lang w:val="en-US"/>
        </w:rPr>
        <w:t xml:space="preserve"> </w:t>
      </w:r>
      <w:r w:rsidR="00511E93">
        <w:rPr>
          <w:rFonts w:asciiTheme="majorHAnsi" w:hAnsiTheme="majorHAnsi" w:cstheme="majorHAnsi"/>
          <w:b/>
          <w:bCs/>
          <w:lang w:val="en-US"/>
        </w:rPr>
        <w:t xml:space="preserve">amend their syllabi to include the General Education Goals and Expected Learning Outcomes for both the LVPA and REGD categories, as the course </w:t>
      </w:r>
      <w:r w:rsidR="00DF5744">
        <w:rPr>
          <w:rFonts w:asciiTheme="majorHAnsi" w:hAnsiTheme="majorHAnsi" w:cstheme="majorHAnsi"/>
          <w:b/>
          <w:bCs/>
          <w:lang w:val="en-US"/>
        </w:rPr>
        <w:t xml:space="preserve">can be used to fulfill either of these GE categories.  </w:t>
      </w:r>
      <w:r w:rsidR="00E3301C" w:rsidRPr="00E3301C">
        <w:rPr>
          <w:rFonts w:asciiTheme="majorHAnsi" w:hAnsiTheme="majorHAnsi" w:cstheme="majorHAnsi"/>
          <w:b/>
          <w:bCs/>
          <w:lang w:val="en-US"/>
        </w:rPr>
        <w:t>Furthermore, the panel recommends that all this be included early on in the syllabus (e.g., p. 1 instead of p. 6).</w:t>
      </w:r>
    </w:p>
    <w:p w14:paraId="11DE531B" w14:textId="170A5F26" w:rsidR="00DF5744" w:rsidRPr="00D13559" w:rsidRDefault="00DF5744" w:rsidP="00437942">
      <w:pPr>
        <w:numPr>
          <w:ilvl w:val="1"/>
          <w:numId w:val="15"/>
        </w:numPr>
        <w:spacing w:line="240" w:lineRule="auto"/>
        <w:rPr>
          <w:rFonts w:asciiTheme="majorHAnsi" w:hAnsiTheme="majorHAnsi" w:cstheme="majorHAnsi"/>
          <w:lang w:val="en-US"/>
        </w:rPr>
      </w:pPr>
      <w:r>
        <w:rPr>
          <w:rFonts w:asciiTheme="majorHAnsi" w:hAnsiTheme="majorHAnsi" w:cstheme="majorHAnsi"/>
          <w:b/>
          <w:bCs/>
          <w:lang w:val="en-US"/>
        </w:rPr>
        <w:t>The Panel requests that the departments add</w:t>
      </w:r>
      <w:r w:rsidR="007D70BC">
        <w:rPr>
          <w:rFonts w:asciiTheme="majorHAnsi" w:hAnsiTheme="majorHAnsi" w:cstheme="majorHAnsi"/>
          <w:b/>
          <w:bCs/>
          <w:lang w:val="en-US"/>
        </w:rPr>
        <w:t xml:space="preserve"> to their syllabi</w:t>
      </w:r>
      <w:r>
        <w:rPr>
          <w:rFonts w:asciiTheme="majorHAnsi" w:hAnsiTheme="majorHAnsi" w:cstheme="majorHAnsi"/>
          <w:b/>
          <w:bCs/>
          <w:lang w:val="en-US"/>
        </w:rPr>
        <w:t xml:space="preserve"> a statement that explains how this</w:t>
      </w:r>
      <w:r w:rsidR="00806E98">
        <w:rPr>
          <w:rFonts w:asciiTheme="majorHAnsi" w:hAnsiTheme="majorHAnsi" w:cstheme="majorHAnsi"/>
          <w:b/>
          <w:bCs/>
          <w:lang w:val="en-US"/>
        </w:rPr>
        <w:t xml:space="preserve"> </w:t>
      </w:r>
      <w:r>
        <w:rPr>
          <w:rFonts w:asciiTheme="majorHAnsi" w:hAnsiTheme="majorHAnsi" w:cstheme="majorHAnsi"/>
          <w:b/>
          <w:bCs/>
          <w:lang w:val="en-US"/>
        </w:rPr>
        <w:t>class will fulfill the</w:t>
      </w:r>
      <w:r w:rsidR="007D70BC">
        <w:rPr>
          <w:rFonts w:asciiTheme="majorHAnsi" w:hAnsiTheme="majorHAnsi" w:cstheme="majorHAnsi"/>
          <w:b/>
          <w:bCs/>
          <w:lang w:val="en-US"/>
        </w:rPr>
        <w:t xml:space="preserve"> GE</w:t>
      </w:r>
      <w:r>
        <w:rPr>
          <w:rFonts w:asciiTheme="majorHAnsi" w:hAnsiTheme="majorHAnsi" w:cstheme="majorHAnsi"/>
          <w:b/>
          <w:bCs/>
          <w:lang w:val="en-US"/>
        </w:rPr>
        <w:t xml:space="preserve"> Goals and Expected Learning Outcomes</w:t>
      </w:r>
      <w:r w:rsidR="007D70BC">
        <w:rPr>
          <w:rFonts w:asciiTheme="majorHAnsi" w:hAnsiTheme="majorHAnsi" w:cstheme="majorHAnsi"/>
          <w:b/>
          <w:bCs/>
          <w:lang w:val="en-US"/>
        </w:rPr>
        <w:t>.  Additionally, the Panel requests that this statement be</w:t>
      </w:r>
      <w:r>
        <w:rPr>
          <w:rFonts w:asciiTheme="majorHAnsi" w:hAnsiTheme="majorHAnsi" w:cstheme="majorHAnsi"/>
          <w:b/>
          <w:bCs/>
          <w:lang w:val="en-US"/>
        </w:rPr>
        <w:t xml:space="preserve"> adjacent to the GE Goals and ELOs.  While the committee </w:t>
      </w:r>
      <w:r w:rsidR="00806E98">
        <w:rPr>
          <w:rFonts w:asciiTheme="majorHAnsi" w:hAnsiTheme="majorHAnsi" w:cstheme="majorHAnsi"/>
          <w:b/>
          <w:bCs/>
          <w:lang w:val="en-US"/>
        </w:rPr>
        <w:t>recognizes that t</w:t>
      </w:r>
      <w:r w:rsidR="007D70BC">
        <w:rPr>
          <w:rFonts w:asciiTheme="majorHAnsi" w:hAnsiTheme="majorHAnsi" w:cstheme="majorHAnsi"/>
          <w:b/>
          <w:bCs/>
          <w:lang w:val="en-US"/>
        </w:rPr>
        <w:t xml:space="preserve">he departments have </w:t>
      </w:r>
      <w:r w:rsidR="00806E98">
        <w:rPr>
          <w:rFonts w:asciiTheme="majorHAnsi" w:hAnsiTheme="majorHAnsi" w:cstheme="majorHAnsi"/>
          <w:b/>
          <w:bCs/>
          <w:lang w:val="en-US"/>
        </w:rPr>
        <w:t xml:space="preserve">addressed </w:t>
      </w:r>
      <w:r w:rsidR="007D70BC">
        <w:rPr>
          <w:rFonts w:asciiTheme="majorHAnsi" w:hAnsiTheme="majorHAnsi" w:cstheme="majorHAnsi"/>
          <w:b/>
          <w:bCs/>
          <w:lang w:val="en-US"/>
        </w:rPr>
        <w:t xml:space="preserve">this topic </w:t>
      </w:r>
      <w:r w:rsidR="00806E98">
        <w:rPr>
          <w:rFonts w:asciiTheme="majorHAnsi" w:hAnsiTheme="majorHAnsi" w:cstheme="majorHAnsi"/>
          <w:b/>
          <w:bCs/>
          <w:lang w:val="en-US"/>
        </w:rPr>
        <w:t>in other parts of the syllabi (</w:t>
      </w:r>
      <w:r w:rsidR="000F16E6">
        <w:rPr>
          <w:rFonts w:asciiTheme="majorHAnsi" w:hAnsiTheme="majorHAnsi" w:cstheme="majorHAnsi"/>
          <w:b/>
          <w:bCs/>
          <w:lang w:val="en-US"/>
        </w:rPr>
        <w:t xml:space="preserve">for example, </w:t>
      </w:r>
      <w:r w:rsidR="00806E98">
        <w:rPr>
          <w:rFonts w:asciiTheme="majorHAnsi" w:hAnsiTheme="majorHAnsi" w:cstheme="majorHAnsi"/>
          <w:b/>
          <w:bCs/>
          <w:lang w:val="en-US"/>
        </w:rPr>
        <w:t xml:space="preserve">syllabus pg. 1 under “Description”) and the GE Proposal document, the Panel feels </w:t>
      </w:r>
      <w:r w:rsidR="007D70BC">
        <w:rPr>
          <w:rFonts w:asciiTheme="majorHAnsi" w:hAnsiTheme="majorHAnsi" w:cstheme="majorHAnsi"/>
          <w:b/>
          <w:bCs/>
          <w:lang w:val="en-US"/>
        </w:rPr>
        <w:t xml:space="preserve">that placing it closer </w:t>
      </w:r>
      <w:r w:rsidR="00806E98">
        <w:rPr>
          <w:rFonts w:asciiTheme="majorHAnsi" w:hAnsiTheme="majorHAnsi" w:cstheme="majorHAnsi"/>
          <w:b/>
          <w:bCs/>
          <w:lang w:val="en-US"/>
        </w:rPr>
        <w:t xml:space="preserve">to the Goals and ELO’s will help students to </w:t>
      </w:r>
      <w:r w:rsidR="00D13559">
        <w:rPr>
          <w:rFonts w:asciiTheme="majorHAnsi" w:hAnsiTheme="majorHAnsi" w:cstheme="majorHAnsi"/>
          <w:b/>
          <w:bCs/>
          <w:lang w:val="en-US"/>
        </w:rPr>
        <w:t xml:space="preserve">better connect the course </w:t>
      </w:r>
      <w:r w:rsidR="007D70BC">
        <w:rPr>
          <w:rFonts w:asciiTheme="majorHAnsi" w:hAnsiTheme="majorHAnsi" w:cstheme="majorHAnsi"/>
          <w:b/>
          <w:bCs/>
          <w:lang w:val="en-US"/>
        </w:rPr>
        <w:t xml:space="preserve">material </w:t>
      </w:r>
      <w:r w:rsidR="00D13559">
        <w:rPr>
          <w:rFonts w:asciiTheme="majorHAnsi" w:hAnsiTheme="majorHAnsi" w:cstheme="majorHAnsi"/>
          <w:b/>
          <w:bCs/>
          <w:lang w:val="en-US"/>
        </w:rPr>
        <w:t>to the General Education.</w:t>
      </w:r>
    </w:p>
    <w:p w14:paraId="3FF6D14B" w14:textId="34A39DB6" w:rsidR="00D13559" w:rsidRPr="007547BC" w:rsidRDefault="00D13559" w:rsidP="00437942">
      <w:pPr>
        <w:numPr>
          <w:ilvl w:val="1"/>
          <w:numId w:val="15"/>
        </w:numPr>
        <w:spacing w:line="240" w:lineRule="auto"/>
        <w:rPr>
          <w:rFonts w:asciiTheme="majorHAnsi" w:hAnsiTheme="majorHAnsi" w:cstheme="majorHAnsi"/>
          <w:lang w:val="en-US"/>
        </w:rPr>
      </w:pPr>
      <w:r w:rsidRPr="007547BC">
        <w:rPr>
          <w:rFonts w:asciiTheme="majorHAnsi" w:hAnsiTheme="majorHAnsi" w:cstheme="majorHAnsi"/>
          <w:i/>
          <w:iCs/>
          <w:lang w:val="en-US"/>
        </w:rPr>
        <w:t xml:space="preserve">The Panel recommends that the departments consider </w:t>
      </w:r>
      <w:r w:rsidR="005300AE" w:rsidRPr="007547BC">
        <w:rPr>
          <w:rFonts w:asciiTheme="majorHAnsi" w:hAnsiTheme="majorHAnsi" w:cstheme="majorHAnsi"/>
          <w:i/>
          <w:iCs/>
          <w:lang w:val="en-US"/>
        </w:rPr>
        <w:t>more inclusion of different African ethnicities, especially as they relate to contemporary African migration, non-U.S. African-American identities and their place within the diaspora,</w:t>
      </w:r>
      <w:r w:rsidR="00F7324A" w:rsidRPr="007547BC">
        <w:rPr>
          <w:rFonts w:asciiTheme="majorHAnsi" w:hAnsiTheme="majorHAnsi" w:cstheme="majorHAnsi"/>
          <w:i/>
          <w:iCs/>
          <w:lang w:val="en-US"/>
        </w:rPr>
        <w:t xml:space="preserve"> and</w:t>
      </w:r>
      <w:r w:rsidR="005300AE" w:rsidRPr="007547BC">
        <w:rPr>
          <w:rFonts w:asciiTheme="majorHAnsi" w:hAnsiTheme="majorHAnsi" w:cstheme="majorHAnsi"/>
          <w:i/>
          <w:iCs/>
          <w:lang w:val="en-US"/>
        </w:rPr>
        <w:t xml:space="preserve"> </w:t>
      </w:r>
      <w:r w:rsidR="00F7324A" w:rsidRPr="007547BC">
        <w:rPr>
          <w:rFonts w:asciiTheme="majorHAnsi" w:hAnsiTheme="majorHAnsi" w:cstheme="majorHAnsi"/>
          <w:i/>
          <w:iCs/>
          <w:lang w:val="en-US"/>
        </w:rPr>
        <w:t xml:space="preserve">the work </w:t>
      </w:r>
      <w:r w:rsidR="000F16E6">
        <w:rPr>
          <w:rFonts w:asciiTheme="majorHAnsi" w:hAnsiTheme="majorHAnsi" w:cstheme="majorHAnsi"/>
          <w:i/>
          <w:iCs/>
          <w:lang w:val="en-US"/>
        </w:rPr>
        <w:t xml:space="preserve">or </w:t>
      </w:r>
      <w:r w:rsidR="00F7324A" w:rsidRPr="007547BC">
        <w:rPr>
          <w:rFonts w:asciiTheme="majorHAnsi" w:hAnsiTheme="majorHAnsi" w:cstheme="majorHAnsi"/>
          <w:i/>
          <w:iCs/>
          <w:lang w:val="en-US"/>
        </w:rPr>
        <w:t>contemporary</w:t>
      </w:r>
      <w:r w:rsidR="005300AE" w:rsidRPr="007547BC">
        <w:rPr>
          <w:rFonts w:asciiTheme="majorHAnsi" w:hAnsiTheme="majorHAnsi" w:cstheme="majorHAnsi"/>
          <w:i/>
          <w:iCs/>
          <w:lang w:val="en-US"/>
        </w:rPr>
        <w:t xml:space="preserve"> authors</w:t>
      </w:r>
      <w:r w:rsidR="00F7324A" w:rsidRPr="007547BC">
        <w:rPr>
          <w:rFonts w:asciiTheme="majorHAnsi" w:hAnsiTheme="majorHAnsi" w:cstheme="majorHAnsi"/>
          <w:i/>
          <w:iCs/>
          <w:lang w:val="en-US"/>
        </w:rPr>
        <w:t xml:space="preserve"> whose </w:t>
      </w:r>
      <w:r w:rsidR="000F16E6">
        <w:rPr>
          <w:rFonts w:asciiTheme="majorHAnsi" w:hAnsiTheme="majorHAnsi" w:cstheme="majorHAnsi"/>
          <w:i/>
          <w:iCs/>
          <w:lang w:val="en-US"/>
        </w:rPr>
        <w:t>writings</w:t>
      </w:r>
      <w:r w:rsidR="00F7324A" w:rsidRPr="007547BC">
        <w:rPr>
          <w:rFonts w:asciiTheme="majorHAnsi" w:hAnsiTheme="majorHAnsi" w:cstheme="majorHAnsi"/>
          <w:i/>
          <w:iCs/>
          <w:lang w:val="en-US"/>
        </w:rPr>
        <w:t xml:space="preserve"> address these topics.</w:t>
      </w:r>
      <w:r w:rsidR="005300AE" w:rsidRPr="007547BC">
        <w:rPr>
          <w:rFonts w:asciiTheme="majorHAnsi" w:hAnsiTheme="majorHAnsi" w:cstheme="majorHAnsi"/>
          <w:i/>
          <w:iCs/>
          <w:lang w:val="en-US"/>
        </w:rPr>
        <w:t xml:space="preserve"> </w:t>
      </w:r>
    </w:p>
    <w:p w14:paraId="758D4956" w14:textId="7472E72F" w:rsidR="00F7324A" w:rsidRPr="007547BC" w:rsidRDefault="00F7324A" w:rsidP="00437942">
      <w:pPr>
        <w:numPr>
          <w:ilvl w:val="1"/>
          <w:numId w:val="15"/>
        </w:numPr>
        <w:spacing w:line="240" w:lineRule="auto"/>
        <w:rPr>
          <w:rFonts w:asciiTheme="majorHAnsi" w:hAnsiTheme="majorHAnsi" w:cstheme="majorHAnsi"/>
          <w:lang w:val="en-US"/>
        </w:rPr>
      </w:pPr>
      <w:r w:rsidRPr="007547BC">
        <w:rPr>
          <w:rFonts w:asciiTheme="majorHAnsi" w:hAnsiTheme="majorHAnsi" w:cstheme="majorHAnsi"/>
          <w:i/>
          <w:iCs/>
          <w:lang w:val="en-US"/>
        </w:rPr>
        <w:t xml:space="preserve">The Panel recommends that the departments amend the grading scale (syllabus pg. 7) to include a D+.  An explanation of the official marks of the university can be found in section 3335-8-21 of the Faculty Rules at </w:t>
      </w:r>
      <w:hyperlink r:id="rId5" w:history="1">
        <w:r w:rsidRPr="007547BC">
          <w:rPr>
            <w:rStyle w:val="Hyperlink"/>
            <w:rFonts w:asciiTheme="majorHAnsi" w:hAnsiTheme="majorHAnsi" w:cstheme="majorHAnsi"/>
            <w:i/>
            <w:iCs/>
            <w:lang w:val="en-US"/>
          </w:rPr>
          <w:t>https://trustees.osu.edu/bylaws-and-rules/3335-8</w:t>
        </w:r>
      </w:hyperlink>
      <w:r w:rsidRPr="007547BC">
        <w:rPr>
          <w:rFonts w:asciiTheme="majorHAnsi" w:hAnsiTheme="majorHAnsi" w:cstheme="majorHAnsi"/>
          <w:i/>
          <w:iCs/>
          <w:lang w:val="en-US"/>
        </w:rPr>
        <w:t>.</w:t>
      </w:r>
    </w:p>
    <w:p w14:paraId="60DFF665" w14:textId="23A6D173" w:rsidR="00F7324A" w:rsidRPr="007547BC" w:rsidRDefault="007547BC" w:rsidP="00437942">
      <w:pPr>
        <w:numPr>
          <w:ilvl w:val="1"/>
          <w:numId w:val="15"/>
        </w:numPr>
        <w:spacing w:line="240" w:lineRule="auto"/>
        <w:rPr>
          <w:rFonts w:asciiTheme="majorHAnsi" w:hAnsiTheme="majorHAnsi" w:cstheme="majorHAnsi"/>
          <w:lang w:val="en-US"/>
        </w:rPr>
      </w:pPr>
      <w:r w:rsidRPr="007547BC">
        <w:rPr>
          <w:rFonts w:asciiTheme="majorHAnsi" w:hAnsiTheme="majorHAnsi" w:cstheme="majorHAnsi"/>
          <w:i/>
          <w:iCs/>
          <w:lang w:val="en-US"/>
        </w:rPr>
        <w:t xml:space="preserve">The Panel recommends that the departments include the most up-to-date version of the University’s Title IX statement, which can be found here: </w:t>
      </w:r>
      <w:hyperlink r:id="rId6" w:history="1">
        <w:r w:rsidRPr="007547BC">
          <w:rPr>
            <w:rStyle w:val="Hyperlink"/>
            <w:rFonts w:asciiTheme="majorHAnsi" w:hAnsiTheme="majorHAnsi" w:cstheme="majorHAnsi"/>
            <w:i/>
            <w:iCs/>
            <w:lang w:val="en-US"/>
          </w:rPr>
          <w:t>https://asccas.osu.edu/curriculum/syllabus-elements</w:t>
        </w:r>
      </w:hyperlink>
    </w:p>
    <w:p w14:paraId="146DE497" w14:textId="2483A7F5" w:rsidR="00B63EED" w:rsidRPr="007547BC" w:rsidRDefault="00B63EED" w:rsidP="007547BC">
      <w:pPr>
        <w:numPr>
          <w:ilvl w:val="1"/>
          <w:numId w:val="15"/>
        </w:numPr>
        <w:spacing w:line="240" w:lineRule="auto"/>
        <w:rPr>
          <w:rFonts w:asciiTheme="majorHAnsi" w:hAnsiTheme="majorHAnsi" w:cstheme="majorHAnsi"/>
          <w:lang w:val="en-US"/>
        </w:rPr>
      </w:pPr>
      <w:r w:rsidRPr="007547BC">
        <w:rPr>
          <w:rFonts w:asciiTheme="majorHAnsi" w:hAnsiTheme="majorHAnsi" w:cstheme="majorHAnsi"/>
          <w:lang w:val="en-US"/>
        </w:rPr>
        <w:t>Price-Spratlen, Abrams; unanimously approved</w:t>
      </w:r>
      <w:r w:rsidR="000A4E15" w:rsidRPr="007547BC">
        <w:rPr>
          <w:rFonts w:asciiTheme="majorHAnsi" w:hAnsiTheme="majorHAnsi" w:cstheme="majorHAnsi"/>
          <w:lang w:val="en-US"/>
        </w:rPr>
        <w:t xml:space="preserve"> </w:t>
      </w:r>
      <w:r w:rsidR="00F329E0" w:rsidRPr="007547BC">
        <w:rPr>
          <w:rFonts w:asciiTheme="majorHAnsi" w:hAnsiTheme="majorHAnsi" w:cstheme="majorHAnsi"/>
          <w:lang w:val="en-US"/>
        </w:rPr>
        <w:t xml:space="preserve">with </w:t>
      </w:r>
      <w:r w:rsidR="00F329E0" w:rsidRPr="007547BC">
        <w:rPr>
          <w:rFonts w:asciiTheme="majorHAnsi" w:hAnsiTheme="majorHAnsi" w:cstheme="majorHAnsi"/>
          <w:b/>
          <w:bCs/>
          <w:lang w:val="en-US"/>
        </w:rPr>
        <w:t>two contingencies</w:t>
      </w:r>
      <w:r w:rsidR="00F329E0" w:rsidRPr="007547BC">
        <w:rPr>
          <w:rFonts w:asciiTheme="majorHAnsi" w:hAnsiTheme="majorHAnsi" w:cstheme="majorHAnsi"/>
          <w:lang w:val="en-US"/>
        </w:rPr>
        <w:t xml:space="preserve"> </w:t>
      </w:r>
      <w:r w:rsidR="007547BC">
        <w:rPr>
          <w:rFonts w:asciiTheme="majorHAnsi" w:hAnsiTheme="majorHAnsi" w:cstheme="majorHAnsi"/>
          <w:lang w:val="en-US"/>
        </w:rPr>
        <w:t xml:space="preserve">(in bold above) </w:t>
      </w:r>
      <w:r w:rsidR="00F329E0" w:rsidRPr="007547BC">
        <w:rPr>
          <w:rFonts w:asciiTheme="majorHAnsi" w:hAnsiTheme="majorHAnsi" w:cstheme="majorHAnsi"/>
          <w:lang w:val="en-US"/>
        </w:rPr>
        <w:t xml:space="preserve">and </w:t>
      </w:r>
      <w:r w:rsidR="00F329E0" w:rsidRPr="007547BC">
        <w:rPr>
          <w:rFonts w:asciiTheme="majorHAnsi" w:hAnsiTheme="majorHAnsi" w:cstheme="majorHAnsi"/>
          <w:i/>
          <w:iCs/>
          <w:lang w:val="en-US"/>
        </w:rPr>
        <w:t>3 recommendations</w:t>
      </w:r>
      <w:r w:rsidR="001C1CA4">
        <w:rPr>
          <w:rFonts w:asciiTheme="majorHAnsi" w:hAnsiTheme="majorHAnsi" w:cstheme="majorHAnsi"/>
          <w:lang w:val="en-US"/>
        </w:rPr>
        <w:t xml:space="preserve"> (in italics above.)</w:t>
      </w:r>
      <w:r w:rsidR="007547BC">
        <w:rPr>
          <w:rFonts w:asciiTheme="majorHAnsi" w:hAnsiTheme="majorHAnsi" w:cstheme="majorHAnsi"/>
          <w:i/>
          <w:iCs/>
          <w:lang w:val="en-US"/>
        </w:rPr>
        <w:t xml:space="preserve"> </w:t>
      </w:r>
    </w:p>
    <w:p w14:paraId="3630624A" w14:textId="19478466" w:rsidR="00256181" w:rsidRDefault="00256181" w:rsidP="00256181">
      <w:pPr>
        <w:numPr>
          <w:ilvl w:val="0"/>
          <w:numId w:val="15"/>
        </w:numPr>
        <w:spacing w:line="240" w:lineRule="auto"/>
        <w:rPr>
          <w:rFonts w:asciiTheme="majorHAnsi" w:hAnsiTheme="majorHAnsi" w:cstheme="majorHAnsi"/>
          <w:lang w:val="en-US"/>
        </w:rPr>
      </w:pPr>
      <w:r w:rsidRPr="00511E93">
        <w:rPr>
          <w:rFonts w:asciiTheme="majorHAnsi" w:hAnsiTheme="majorHAnsi" w:cstheme="majorHAnsi"/>
          <w:lang w:val="en-US"/>
        </w:rPr>
        <w:t>WGSS 2215 (existing course with GE Literature; will be new GE Foundation: LVPA; requesting new GE Foundation: REGD)</w:t>
      </w:r>
    </w:p>
    <w:p w14:paraId="67AF01FD" w14:textId="34C843A5" w:rsidR="000F6838" w:rsidRPr="000F6838" w:rsidRDefault="000F6838" w:rsidP="000F6838">
      <w:pPr>
        <w:numPr>
          <w:ilvl w:val="1"/>
          <w:numId w:val="15"/>
        </w:numPr>
        <w:spacing w:line="240" w:lineRule="auto"/>
        <w:rPr>
          <w:rFonts w:asciiTheme="majorHAnsi" w:hAnsiTheme="majorHAnsi" w:cstheme="majorHAnsi"/>
          <w:lang w:val="en-US"/>
        </w:rPr>
      </w:pPr>
      <w:r>
        <w:rPr>
          <w:rFonts w:asciiTheme="majorHAnsi" w:hAnsiTheme="majorHAnsi" w:cstheme="majorHAnsi"/>
          <w:lang w:val="en-US"/>
        </w:rPr>
        <w:t xml:space="preserve">The Panel appreciates the syllabus’ clear focus on intersectionality and its resistance to “siloing” different areas of REGD. </w:t>
      </w:r>
    </w:p>
    <w:p w14:paraId="429A397A" w14:textId="29890BAF" w:rsidR="001C1CA4" w:rsidRDefault="001C1CA4" w:rsidP="001C1CA4">
      <w:pPr>
        <w:numPr>
          <w:ilvl w:val="1"/>
          <w:numId w:val="15"/>
        </w:numPr>
        <w:spacing w:line="240" w:lineRule="auto"/>
        <w:rPr>
          <w:rFonts w:asciiTheme="majorHAnsi" w:hAnsiTheme="majorHAnsi" w:cstheme="majorHAnsi"/>
          <w:lang w:val="en-US"/>
        </w:rPr>
      </w:pPr>
      <w:r>
        <w:rPr>
          <w:rFonts w:asciiTheme="majorHAnsi" w:hAnsiTheme="majorHAnsi" w:cstheme="majorHAnsi"/>
          <w:i/>
          <w:iCs/>
          <w:lang w:val="en-US"/>
        </w:rPr>
        <w:t>The Panel recommends that all courses seeking approv</w:t>
      </w:r>
      <w:r w:rsidR="000F16E6">
        <w:rPr>
          <w:rFonts w:asciiTheme="majorHAnsi" w:hAnsiTheme="majorHAnsi" w:cstheme="majorHAnsi"/>
          <w:i/>
          <w:iCs/>
          <w:lang w:val="en-US"/>
        </w:rPr>
        <w:t>al</w:t>
      </w:r>
      <w:r>
        <w:rPr>
          <w:rFonts w:asciiTheme="majorHAnsi" w:hAnsiTheme="majorHAnsi" w:cstheme="majorHAnsi"/>
          <w:i/>
          <w:iCs/>
          <w:lang w:val="en-US"/>
        </w:rPr>
        <w:t xml:space="preserve"> in the new Foundations: REGD G</w:t>
      </w:r>
      <w:r w:rsidR="000F16E6">
        <w:rPr>
          <w:rFonts w:asciiTheme="majorHAnsi" w:hAnsiTheme="majorHAnsi" w:cstheme="majorHAnsi"/>
          <w:i/>
          <w:iCs/>
          <w:lang w:val="en-US"/>
        </w:rPr>
        <w:t>E</w:t>
      </w:r>
      <w:r>
        <w:rPr>
          <w:rFonts w:asciiTheme="majorHAnsi" w:hAnsiTheme="majorHAnsi" w:cstheme="majorHAnsi"/>
          <w:i/>
          <w:iCs/>
          <w:lang w:val="en-US"/>
        </w:rPr>
        <w:t xml:space="preserve"> category include a Land Acknowledgement.  A sample Land Acknowledgement, information about the purpose of such a statement, and further action steps can be found here: </w:t>
      </w:r>
      <w:hyperlink r:id="rId7" w:history="1">
        <w:r w:rsidRPr="00FC111A">
          <w:rPr>
            <w:rStyle w:val="Hyperlink"/>
            <w:rFonts w:asciiTheme="majorHAnsi" w:hAnsiTheme="majorHAnsi" w:cstheme="majorHAnsi"/>
            <w:i/>
            <w:iCs/>
            <w:lang w:val="en-US"/>
          </w:rPr>
          <w:t>https://mcc.osu.edu/about-us/land-acknowledgement</w:t>
        </w:r>
      </w:hyperlink>
    </w:p>
    <w:p w14:paraId="1A3874B5" w14:textId="099206A7" w:rsidR="00D54629" w:rsidRPr="007547BC" w:rsidRDefault="00D54629" w:rsidP="00D54629">
      <w:pPr>
        <w:numPr>
          <w:ilvl w:val="1"/>
          <w:numId w:val="15"/>
        </w:numPr>
        <w:spacing w:line="240" w:lineRule="auto"/>
        <w:rPr>
          <w:rFonts w:asciiTheme="majorHAnsi" w:hAnsiTheme="majorHAnsi" w:cstheme="majorHAnsi"/>
          <w:lang w:val="en-US"/>
        </w:rPr>
      </w:pPr>
      <w:r w:rsidRPr="007547BC">
        <w:rPr>
          <w:rFonts w:asciiTheme="majorHAnsi" w:hAnsiTheme="majorHAnsi" w:cstheme="majorHAnsi"/>
          <w:i/>
          <w:iCs/>
          <w:lang w:val="en-US"/>
        </w:rPr>
        <w:lastRenderedPageBreak/>
        <w:t xml:space="preserve">The Panel recommends that the department include the most up-to-date version of the University’s Title IX statement, which can be found here: </w:t>
      </w:r>
      <w:hyperlink r:id="rId8" w:history="1">
        <w:r w:rsidRPr="007547BC">
          <w:rPr>
            <w:rStyle w:val="Hyperlink"/>
            <w:rFonts w:asciiTheme="majorHAnsi" w:hAnsiTheme="majorHAnsi" w:cstheme="majorHAnsi"/>
            <w:i/>
            <w:iCs/>
            <w:lang w:val="en-US"/>
          </w:rPr>
          <w:t>https://asccas.osu.edu/curriculum/syllabus-elements</w:t>
        </w:r>
      </w:hyperlink>
    </w:p>
    <w:p w14:paraId="2D84DAF7" w14:textId="126F37BF" w:rsidR="001C1CA4" w:rsidRPr="001C1CA4" w:rsidRDefault="00D54629" w:rsidP="001C1CA4">
      <w:pPr>
        <w:numPr>
          <w:ilvl w:val="1"/>
          <w:numId w:val="15"/>
        </w:numPr>
        <w:spacing w:line="240" w:lineRule="auto"/>
        <w:rPr>
          <w:rFonts w:asciiTheme="majorHAnsi" w:hAnsiTheme="majorHAnsi" w:cstheme="majorHAnsi"/>
          <w:lang w:val="en-US"/>
        </w:rPr>
      </w:pPr>
      <w:r>
        <w:rPr>
          <w:rFonts w:asciiTheme="majorHAnsi" w:hAnsiTheme="majorHAnsi" w:cstheme="majorHAnsi"/>
          <w:i/>
          <w:iCs/>
          <w:lang w:val="en-US"/>
        </w:rPr>
        <w:t>The Panel recommends that the department clarify the language surrounding what GE requirements this course fulfills.  On pg. 2 of the syllabus under “General Education”, the syllabus states that “This course fulfills two General Education (GE) Foundations requirements…”.  Since students cannot use 1 class to fulfill two requirements (though they can choose which requirement this class will fulfill for them,) the Panel recommends alternative language such as “This course may be used to fulfill either the GE Foundations: LVPA requirement OR the GE Foundations: REGD requirement.</w:t>
      </w:r>
    </w:p>
    <w:p w14:paraId="45566304" w14:textId="0BE106E4" w:rsidR="00EF3BD5" w:rsidRPr="00511E93" w:rsidRDefault="00EF3BD5" w:rsidP="007869DF">
      <w:pPr>
        <w:numPr>
          <w:ilvl w:val="1"/>
          <w:numId w:val="15"/>
        </w:numPr>
        <w:spacing w:line="240" w:lineRule="auto"/>
        <w:rPr>
          <w:rFonts w:asciiTheme="majorHAnsi" w:hAnsiTheme="majorHAnsi" w:cstheme="majorHAnsi"/>
          <w:lang w:val="en-US"/>
        </w:rPr>
      </w:pPr>
      <w:r w:rsidRPr="00511E93">
        <w:rPr>
          <w:rFonts w:asciiTheme="majorHAnsi" w:hAnsiTheme="majorHAnsi" w:cstheme="majorHAnsi"/>
          <w:lang w:val="en-US"/>
        </w:rPr>
        <w:t>Ponce</w:t>
      </w:r>
      <w:r w:rsidR="00BB7381">
        <w:rPr>
          <w:rFonts w:asciiTheme="majorHAnsi" w:hAnsiTheme="majorHAnsi" w:cstheme="majorHAnsi"/>
          <w:lang w:val="en-US"/>
        </w:rPr>
        <w:t xml:space="preserve">, </w:t>
      </w:r>
      <w:r w:rsidRPr="00511E93">
        <w:rPr>
          <w:rFonts w:asciiTheme="majorHAnsi" w:hAnsiTheme="majorHAnsi" w:cstheme="majorHAnsi"/>
          <w:lang w:val="en-US"/>
        </w:rPr>
        <w:t xml:space="preserve">Price-Spratlen; </w:t>
      </w:r>
      <w:r w:rsidR="00D54629">
        <w:rPr>
          <w:rFonts w:asciiTheme="majorHAnsi" w:hAnsiTheme="majorHAnsi" w:cstheme="majorHAnsi"/>
          <w:lang w:val="en-US"/>
        </w:rPr>
        <w:t xml:space="preserve">unanimously </w:t>
      </w:r>
      <w:r w:rsidRPr="00511E93">
        <w:rPr>
          <w:rFonts w:asciiTheme="majorHAnsi" w:hAnsiTheme="majorHAnsi" w:cstheme="majorHAnsi"/>
          <w:lang w:val="en-US"/>
        </w:rPr>
        <w:t xml:space="preserve">approved with </w:t>
      </w:r>
      <w:r w:rsidR="00D54629">
        <w:rPr>
          <w:rFonts w:asciiTheme="majorHAnsi" w:hAnsiTheme="majorHAnsi" w:cstheme="majorHAnsi"/>
          <w:i/>
          <w:iCs/>
          <w:lang w:val="en-US"/>
        </w:rPr>
        <w:t>three</w:t>
      </w:r>
      <w:r w:rsidRPr="00D54629">
        <w:rPr>
          <w:rFonts w:asciiTheme="majorHAnsi" w:hAnsiTheme="majorHAnsi" w:cstheme="majorHAnsi"/>
          <w:i/>
          <w:iCs/>
          <w:lang w:val="en-US"/>
        </w:rPr>
        <w:t xml:space="preserve"> recommendation</w:t>
      </w:r>
      <w:r w:rsidR="00D54629" w:rsidRPr="00D54629">
        <w:rPr>
          <w:rFonts w:asciiTheme="majorHAnsi" w:hAnsiTheme="majorHAnsi" w:cstheme="majorHAnsi"/>
          <w:i/>
          <w:iCs/>
          <w:lang w:val="en-US"/>
        </w:rPr>
        <w:t>s</w:t>
      </w:r>
      <w:r w:rsidR="00D54629">
        <w:rPr>
          <w:rFonts w:asciiTheme="majorHAnsi" w:hAnsiTheme="majorHAnsi" w:cstheme="majorHAnsi"/>
          <w:lang w:val="en-US"/>
        </w:rPr>
        <w:t xml:space="preserve"> (in italics above) and one comment</w:t>
      </w:r>
    </w:p>
    <w:p w14:paraId="2CC8778E" w14:textId="17DC4E21" w:rsidR="00040B37" w:rsidRDefault="00256181" w:rsidP="000D534F">
      <w:pPr>
        <w:numPr>
          <w:ilvl w:val="0"/>
          <w:numId w:val="15"/>
        </w:numPr>
        <w:spacing w:line="240" w:lineRule="auto"/>
        <w:rPr>
          <w:rFonts w:asciiTheme="majorHAnsi" w:hAnsiTheme="majorHAnsi" w:cstheme="majorHAnsi"/>
          <w:lang w:val="en-US"/>
        </w:rPr>
      </w:pPr>
      <w:r w:rsidRPr="00511E93">
        <w:rPr>
          <w:rFonts w:asciiTheme="majorHAnsi" w:hAnsiTheme="majorHAnsi" w:cstheme="majorHAnsi"/>
          <w:lang w:val="en-US"/>
        </w:rPr>
        <w:t>History of Art 3605 (existing course with GE VPA; will be new GE Foundation: LVPA; requesting new GE Foundation: REGD)</w:t>
      </w:r>
    </w:p>
    <w:p w14:paraId="79AE0CFE" w14:textId="5AEA0110" w:rsidR="000F6838" w:rsidRPr="000F6838" w:rsidRDefault="000F6838" w:rsidP="000F6838">
      <w:pPr>
        <w:numPr>
          <w:ilvl w:val="1"/>
          <w:numId w:val="15"/>
        </w:numPr>
        <w:spacing w:line="240" w:lineRule="auto"/>
        <w:rPr>
          <w:rFonts w:asciiTheme="majorHAnsi" w:hAnsiTheme="majorHAnsi" w:cstheme="majorHAnsi"/>
          <w:lang w:val="en-US"/>
        </w:rPr>
      </w:pPr>
      <w:r>
        <w:rPr>
          <w:rFonts w:asciiTheme="majorHAnsi" w:hAnsiTheme="majorHAnsi" w:cstheme="majorHAnsi"/>
          <w:lang w:val="en-US"/>
        </w:rPr>
        <w:t>The Panel appreciates the thoughtful questions that are included with the weekly schedule and recognizes how those questions are used to provide more information about the weekly topics of the course.</w:t>
      </w:r>
    </w:p>
    <w:p w14:paraId="364E4819" w14:textId="2329A2AB" w:rsidR="00BB7381" w:rsidRPr="00A34B9A" w:rsidRDefault="00BB7381" w:rsidP="00EF3BD5">
      <w:pPr>
        <w:numPr>
          <w:ilvl w:val="1"/>
          <w:numId w:val="15"/>
        </w:numPr>
        <w:spacing w:line="240" w:lineRule="auto"/>
        <w:rPr>
          <w:rFonts w:asciiTheme="majorHAnsi" w:hAnsiTheme="majorHAnsi" w:cstheme="majorHAnsi"/>
          <w:lang w:val="en-US"/>
        </w:rPr>
      </w:pPr>
      <w:r>
        <w:rPr>
          <w:rFonts w:asciiTheme="majorHAnsi" w:hAnsiTheme="majorHAnsi" w:cstheme="majorHAnsi"/>
          <w:b/>
          <w:bCs/>
          <w:lang w:val="en-US"/>
        </w:rPr>
        <w:t xml:space="preserve">The Panel asks that the </w:t>
      </w:r>
      <w:r w:rsidR="00A34B9A">
        <w:rPr>
          <w:rFonts w:asciiTheme="majorHAnsi" w:hAnsiTheme="majorHAnsi" w:cstheme="majorHAnsi"/>
          <w:b/>
          <w:bCs/>
          <w:lang w:val="en-US"/>
        </w:rPr>
        <w:t>syllabus include</w:t>
      </w:r>
      <w:r>
        <w:rPr>
          <w:rFonts w:asciiTheme="majorHAnsi" w:hAnsiTheme="majorHAnsi" w:cstheme="majorHAnsi"/>
          <w:b/>
          <w:bCs/>
          <w:lang w:val="en-US"/>
        </w:rPr>
        <w:t xml:space="preserve"> all the Goals and Expected Learning Outcomes for </w:t>
      </w:r>
      <w:r w:rsidR="00A34B9A">
        <w:rPr>
          <w:rFonts w:asciiTheme="majorHAnsi" w:hAnsiTheme="majorHAnsi" w:cstheme="majorHAnsi"/>
          <w:b/>
          <w:bCs/>
          <w:lang w:val="en-US"/>
        </w:rPr>
        <w:t xml:space="preserve">both the REGD and LVPA GE categories.  These can be found at: </w:t>
      </w:r>
      <w:hyperlink r:id="rId9" w:history="1">
        <w:r w:rsidR="00A34B9A" w:rsidRPr="00FC111A">
          <w:rPr>
            <w:rStyle w:val="Hyperlink"/>
            <w:rFonts w:asciiTheme="majorHAnsi" w:hAnsiTheme="majorHAnsi" w:cstheme="majorHAnsi"/>
            <w:b/>
            <w:bCs/>
            <w:lang w:val="en-US"/>
          </w:rPr>
          <w:t>https://oaa.osu.edu/ohio-state-ge-program</w:t>
        </w:r>
      </w:hyperlink>
      <w:r w:rsidR="00A34B9A">
        <w:rPr>
          <w:rFonts w:asciiTheme="majorHAnsi" w:hAnsiTheme="majorHAnsi" w:cstheme="majorHAnsi"/>
          <w:b/>
          <w:bCs/>
          <w:lang w:val="en-US"/>
        </w:rPr>
        <w:t>.</w:t>
      </w:r>
    </w:p>
    <w:p w14:paraId="0A099E6C" w14:textId="6066C456" w:rsidR="00A34B9A" w:rsidRPr="00A34B9A" w:rsidRDefault="00A34B9A" w:rsidP="00A34B9A">
      <w:pPr>
        <w:numPr>
          <w:ilvl w:val="1"/>
          <w:numId w:val="15"/>
        </w:numPr>
        <w:spacing w:line="240" w:lineRule="auto"/>
        <w:rPr>
          <w:rFonts w:asciiTheme="majorHAnsi" w:hAnsiTheme="majorHAnsi" w:cstheme="majorHAnsi"/>
          <w:lang w:val="en-US"/>
        </w:rPr>
      </w:pPr>
      <w:r>
        <w:rPr>
          <w:rFonts w:asciiTheme="majorHAnsi" w:hAnsiTheme="majorHAnsi" w:cstheme="majorHAnsi"/>
          <w:i/>
          <w:iCs/>
          <w:lang w:val="en-US"/>
        </w:rPr>
        <w:t>The Panel recommends that all courses seeking approv</w:t>
      </w:r>
      <w:r w:rsidR="00FA1799">
        <w:rPr>
          <w:rFonts w:asciiTheme="majorHAnsi" w:hAnsiTheme="majorHAnsi" w:cstheme="majorHAnsi"/>
          <w:i/>
          <w:iCs/>
          <w:lang w:val="en-US"/>
        </w:rPr>
        <w:t>al</w:t>
      </w:r>
      <w:r>
        <w:rPr>
          <w:rFonts w:asciiTheme="majorHAnsi" w:hAnsiTheme="majorHAnsi" w:cstheme="majorHAnsi"/>
          <w:i/>
          <w:iCs/>
          <w:lang w:val="en-US"/>
        </w:rPr>
        <w:t xml:space="preserve"> in the new Foundations: REGD G</w:t>
      </w:r>
      <w:r w:rsidR="00C93CE7">
        <w:rPr>
          <w:rFonts w:asciiTheme="majorHAnsi" w:hAnsiTheme="majorHAnsi" w:cstheme="majorHAnsi"/>
          <w:i/>
          <w:iCs/>
          <w:lang w:val="en-US"/>
        </w:rPr>
        <w:t>E</w:t>
      </w:r>
      <w:r>
        <w:rPr>
          <w:rFonts w:asciiTheme="majorHAnsi" w:hAnsiTheme="majorHAnsi" w:cstheme="majorHAnsi"/>
          <w:i/>
          <w:iCs/>
          <w:lang w:val="en-US"/>
        </w:rPr>
        <w:t xml:space="preserve"> category include a Land Acknowledgement.  A sample Land Acknowledgement, information about the purpose of such a statement, and further action steps can be found here: </w:t>
      </w:r>
      <w:hyperlink r:id="rId10" w:history="1">
        <w:r w:rsidRPr="00FC111A">
          <w:rPr>
            <w:rStyle w:val="Hyperlink"/>
            <w:rFonts w:asciiTheme="majorHAnsi" w:hAnsiTheme="majorHAnsi" w:cstheme="majorHAnsi"/>
            <w:i/>
            <w:iCs/>
            <w:lang w:val="en-US"/>
          </w:rPr>
          <w:t>https://mcc.osu.edu/about-us/land-acknowledgement</w:t>
        </w:r>
      </w:hyperlink>
    </w:p>
    <w:p w14:paraId="1AFBC09E" w14:textId="589F6EE9" w:rsidR="00A34B9A" w:rsidRPr="001F691D" w:rsidRDefault="001F691D" w:rsidP="00A34B9A">
      <w:pPr>
        <w:numPr>
          <w:ilvl w:val="1"/>
          <w:numId w:val="15"/>
        </w:numPr>
        <w:spacing w:line="240" w:lineRule="auto"/>
        <w:rPr>
          <w:rFonts w:asciiTheme="majorHAnsi" w:hAnsiTheme="majorHAnsi" w:cstheme="majorHAnsi"/>
          <w:lang w:val="en-US"/>
        </w:rPr>
      </w:pPr>
      <w:r>
        <w:rPr>
          <w:rFonts w:asciiTheme="majorHAnsi" w:hAnsiTheme="majorHAnsi" w:cstheme="majorHAnsi"/>
          <w:i/>
          <w:iCs/>
          <w:lang w:val="en-US"/>
        </w:rPr>
        <w:t xml:space="preserve">The Panel recommends that the department clarify whether the textbooks for the class are recommended or required.  </w:t>
      </w:r>
      <w:r w:rsidR="00FA1799">
        <w:rPr>
          <w:rFonts w:asciiTheme="majorHAnsi" w:hAnsiTheme="majorHAnsi" w:cstheme="majorHAnsi"/>
          <w:i/>
          <w:iCs/>
          <w:lang w:val="en-US"/>
        </w:rPr>
        <w:t>P</w:t>
      </w:r>
      <w:r>
        <w:rPr>
          <w:rFonts w:asciiTheme="majorHAnsi" w:hAnsiTheme="majorHAnsi" w:cstheme="majorHAnsi"/>
          <w:i/>
          <w:iCs/>
          <w:lang w:val="en-US"/>
        </w:rPr>
        <w:t>g. 9 of the syllabus</w:t>
      </w:r>
      <w:r w:rsidR="00FA1799">
        <w:rPr>
          <w:rFonts w:asciiTheme="majorHAnsi" w:hAnsiTheme="majorHAnsi" w:cstheme="majorHAnsi"/>
          <w:i/>
          <w:iCs/>
          <w:lang w:val="en-US"/>
        </w:rPr>
        <w:t xml:space="preserve"> uses the language</w:t>
      </w:r>
      <w:r>
        <w:rPr>
          <w:rFonts w:asciiTheme="majorHAnsi" w:hAnsiTheme="majorHAnsi" w:cstheme="majorHAnsi"/>
          <w:i/>
          <w:iCs/>
          <w:lang w:val="en-US"/>
        </w:rPr>
        <w:t xml:space="preserve"> “I recommend…” and “The second recommended text…” but this is under the heading “What are the required texts?”</w:t>
      </w:r>
    </w:p>
    <w:p w14:paraId="69F62F44" w14:textId="61D8DD08" w:rsidR="001F691D" w:rsidRPr="00A34B9A" w:rsidRDefault="001F691D" w:rsidP="00A34B9A">
      <w:pPr>
        <w:numPr>
          <w:ilvl w:val="1"/>
          <w:numId w:val="15"/>
        </w:numPr>
        <w:spacing w:line="240" w:lineRule="auto"/>
        <w:rPr>
          <w:rFonts w:asciiTheme="majorHAnsi" w:hAnsiTheme="majorHAnsi" w:cstheme="majorHAnsi"/>
          <w:lang w:val="en-US"/>
        </w:rPr>
      </w:pPr>
      <w:r>
        <w:rPr>
          <w:rFonts w:asciiTheme="majorHAnsi" w:hAnsiTheme="majorHAnsi" w:cstheme="majorHAnsi"/>
          <w:i/>
          <w:iCs/>
          <w:lang w:val="en-US"/>
        </w:rPr>
        <w:t>The Panel recommends removing the reference to virtual class meetings (syllabus pg. 9 under “Is attendance mandatory?”) since the Course Change Request (pg. 1) indicates that no section of this course has a distance component.</w:t>
      </w:r>
    </w:p>
    <w:p w14:paraId="1BD55ABF" w14:textId="0F02F4B5" w:rsidR="00A34B9A" w:rsidRDefault="00A34B9A" w:rsidP="00A34B9A">
      <w:pPr>
        <w:numPr>
          <w:ilvl w:val="1"/>
          <w:numId w:val="15"/>
        </w:numPr>
        <w:spacing w:line="240" w:lineRule="auto"/>
        <w:rPr>
          <w:rFonts w:asciiTheme="majorHAnsi" w:hAnsiTheme="majorHAnsi" w:cstheme="majorHAnsi"/>
          <w:lang w:val="en-US"/>
        </w:rPr>
      </w:pPr>
      <w:r>
        <w:rPr>
          <w:rFonts w:asciiTheme="majorHAnsi" w:hAnsiTheme="majorHAnsi" w:cstheme="majorHAnsi"/>
          <w:i/>
          <w:iCs/>
          <w:lang w:val="en-US"/>
        </w:rPr>
        <w:t xml:space="preserve">The Panel recommends that the department </w:t>
      </w:r>
      <w:r w:rsidR="001F691D">
        <w:rPr>
          <w:rFonts w:asciiTheme="majorHAnsi" w:hAnsiTheme="majorHAnsi" w:cstheme="majorHAnsi"/>
          <w:i/>
          <w:iCs/>
          <w:lang w:val="en-US"/>
        </w:rPr>
        <w:t>include an introduction to concepts such as race, ethnicity, gender, and intersectionality in the first few class meetings as a way to emphasize to students that these issues are central to the course.</w:t>
      </w:r>
    </w:p>
    <w:p w14:paraId="48BA413A" w14:textId="7A3D2680" w:rsidR="000A0884" w:rsidRPr="00511E93" w:rsidRDefault="000A0884" w:rsidP="000A0884">
      <w:pPr>
        <w:numPr>
          <w:ilvl w:val="1"/>
          <w:numId w:val="15"/>
        </w:numPr>
        <w:spacing w:line="240" w:lineRule="auto"/>
        <w:rPr>
          <w:rFonts w:asciiTheme="majorHAnsi" w:hAnsiTheme="majorHAnsi" w:cstheme="majorHAnsi"/>
          <w:lang w:val="en-US"/>
        </w:rPr>
      </w:pPr>
      <w:r w:rsidRPr="00511E93">
        <w:rPr>
          <w:rFonts w:asciiTheme="majorHAnsi" w:hAnsiTheme="majorHAnsi" w:cstheme="majorHAnsi"/>
          <w:lang w:val="en-US"/>
        </w:rPr>
        <w:t>Price-Spratlen, Abrams; unanimously approved</w:t>
      </w:r>
      <w:r w:rsidR="00BB7381">
        <w:rPr>
          <w:rFonts w:asciiTheme="majorHAnsi" w:hAnsiTheme="majorHAnsi" w:cstheme="majorHAnsi"/>
          <w:lang w:val="en-US"/>
        </w:rPr>
        <w:t xml:space="preserve"> with </w:t>
      </w:r>
      <w:r w:rsidR="00BB7381">
        <w:rPr>
          <w:rFonts w:asciiTheme="majorHAnsi" w:hAnsiTheme="majorHAnsi" w:cstheme="majorHAnsi"/>
          <w:b/>
          <w:bCs/>
          <w:lang w:val="en-US"/>
        </w:rPr>
        <w:t xml:space="preserve">one contingency </w:t>
      </w:r>
      <w:r w:rsidR="00BB7381">
        <w:rPr>
          <w:rFonts w:asciiTheme="majorHAnsi" w:hAnsiTheme="majorHAnsi" w:cstheme="majorHAnsi"/>
          <w:lang w:val="en-US"/>
        </w:rPr>
        <w:t xml:space="preserve">(in bold above,) </w:t>
      </w:r>
      <w:r w:rsidR="00BB7381">
        <w:rPr>
          <w:rFonts w:asciiTheme="majorHAnsi" w:hAnsiTheme="majorHAnsi" w:cstheme="majorHAnsi"/>
          <w:i/>
          <w:iCs/>
          <w:lang w:val="en-US"/>
        </w:rPr>
        <w:t>four recommendations</w:t>
      </w:r>
      <w:r w:rsidR="00BB7381">
        <w:rPr>
          <w:rFonts w:asciiTheme="majorHAnsi" w:hAnsiTheme="majorHAnsi" w:cstheme="majorHAnsi"/>
          <w:lang w:val="en-US"/>
        </w:rPr>
        <w:t xml:space="preserve"> (in italics above) and one comment</w:t>
      </w:r>
    </w:p>
    <w:p w14:paraId="00000024" w14:textId="77777777" w:rsidR="004746DA" w:rsidRPr="00511E93" w:rsidRDefault="004746DA">
      <w:pPr>
        <w:spacing w:line="240" w:lineRule="auto"/>
        <w:rPr>
          <w:rFonts w:asciiTheme="majorHAnsi" w:hAnsiTheme="majorHAnsi" w:cstheme="majorHAnsi"/>
        </w:rPr>
      </w:pPr>
    </w:p>
    <w:sectPr w:rsidR="004746DA" w:rsidRPr="00511E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11"/>
  </w:num>
  <w:num w:numId="5">
    <w:abstractNumId w:val="5"/>
  </w:num>
  <w:num w:numId="6">
    <w:abstractNumId w:val="12"/>
  </w:num>
  <w:num w:numId="7">
    <w:abstractNumId w:val="8"/>
  </w:num>
  <w:num w:numId="8">
    <w:abstractNumId w:val="9"/>
  </w:num>
  <w:num w:numId="9">
    <w:abstractNumId w:val="4"/>
  </w:num>
  <w:num w:numId="10">
    <w:abstractNumId w:val="6"/>
  </w:num>
  <w:num w:numId="11">
    <w:abstractNumId w:val="14"/>
  </w:num>
  <w:num w:numId="12">
    <w:abstractNumId w:val="13"/>
  </w:num>
  <w:num w:numId="13">
    <w:abstractNumId w:val="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6DA"/>
    <w:rsid w:val="000003E6"/>
    <w:rsid w:val="000245AB"/>
    <w:rsid w:val="00040B37"/>
    <w:rsid w:val="000530A1"/>
    <w:rsid w:val="000756F9"/>
    <w:rsid w:val="000A0884"/>
    <w:rsid w:val="000A4E15"/>
    <w:rsid w:val="000D534F"/>
    <w:rsid w:val="000F16E6"/>
    <w:rsid w:val="000F6838"/>
    <w:rsid w:val="00100007"/>
    <w:rsid w:val="00104395"/>
    <w:rsid w:val="001162E3"/>
    <w:rsid w:val="00127333"/>
    <w:rsid w:val="00150A54"/>
    <w:rsid w:val="001C1CA4"/>
    <w:rsid w:val="001D53A3"/>
    <w:rsid w:val="001E63AD"/>
    <w:rsid w:val="001F4F08"/>
    <w:rsid w:val="001F691D"/>
    <w:rsid w:val="00201A42"/>
    <w:rsid w:val="00256181"/>
    <w:rsid w:val="002833D3"/>
    <w:rsid w:val="00335F0E"/>
    <w:rsid w:val="003559DE"/>
    <w:rsid w:val="00357E17"/>
    <w:rsid w:val="00437942"/>
    <w:rsid w:val="0044143D"/>
    <w:rsid w:val="0044657D"/>
    <w:rsid w:val="004746DA"/>
    <w:rsid w:val="004D0568"/>
    <w:rsid w:val="00511E93"/>
    <w:rsid w:val="005300AE"/>
    <w:rsid w:val="0056301E"/>
    <w:rsid w:val="00563ABE"/>
    <w:rsid w:val="006011F5"/>
    <w:rsid w:val="00656078"/>
    <w:rsid w:val="00670251"/>
    <w:rsid w:val="0069459B"/>
    <w:rsid w:val="006D3D24"/>
    <w:rsid w:val="00740A4A"/>
    <w:rsid w:val="007547BC"/>
    <w:rsid w:val="00762426"/>
    <w:rsid w:val="00776791"/>
    <w:rsid w:val="007869DF"/>
    <w:rsid w:val="007D70BC"/>
    <w:rsid w:val="007F45E9"/>
    <w:rsid w:val="00806E98"/>
    <w:rsid w:val="00997A7B"/>
    <w:rsid w:val="00A32CFF"/>
    <w:rsid w:val="00A34B9A"/>
    <w:rsid w:val="00A97EFF"/>
    <w:rsid w:val="00AC0554"/>
    <w:rsid w:val="00B61639"/>
    <w:rsid w:val="00B63EED"/>
    <w:rsid w:val="00B711B8"/>
    <w:rsid w:val="00BB7381"/>
    <w:rsid w:val="00C04584"/>
    <w:rsid w:val="00C93CE7"/>
    <w:rsid w:val="00CC51CC"/>
    <w:rsid w:val="00D1071B"/>
    <w:rsid w:val="00D13559"/>
    <w:rsid w:val="00D54629"/>
    <w:rsid w:val="00DA359C"/>
    <w:rsid w:val="00DA6B24"/>
    <w:rsid w:val="00DC6D7A"/>
    <w:rsid w:val="00DD4E5F"/>
    <w:rsid w:val="00DF3699"/>
    <w:rsid w:val="00DF5744"/>
    <w:rsid w:val="00E1145C"/>
    <w:rsid w:val="00E3301C"/>
    <w:rsid w:val="00E4596B"/>
    <w:rsid w:val="00EA4C2E"/>
    <w:rsid w:val="00EF3BD5"/>
    <w:rsid w:val="00F329E0"/>
    <w:rsid w:val="00F7324A"/>
    <w:rsid w:val="00F74DE3"/>
    <w:rsid w:val="00FA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632AF162-F53B-4FA1-9A5E-BCFAB9D4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F7324A"/>
    <w:rPr>
      <w:color w:val="0000FF" w:themeColor="hyperlink"/>
      <w:u w:val="single"/>
    </w:rPr>
  </w:style>
  <w:style w:type="character" w:styleId="UnresolvedMention">
    <w:name w:val="Unresolved Mention"/>
    <w:basedOn w:val="DefaultParagraphFont"/>
    <w:uiPriority w:val="99"/>
    <w:semiHidden/>
    <w:unhideWhenUsed/>
    <w:rsid w:val="00F73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curriculum/syllabus-elements" TargetMode="External"/><Relationship Id="rId3" Type="http://schemas.openxmlformats.org/officeDocument/2006/relationships/settings" Target="settings.xml"/><Relationship Id="rId7" Type="http://schemas.openxmlformats.org/officeDocument/2006/relationships/hyperlink" Target="https://mcc.osu.edu/about-us/land-acknowledge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11" Type="http://schemas.openxmlformats.org/officeDocument/2006/relationships/fontTable" Target="fontTable.xml"/><Relationship Id="rId5" Type="http://schemas.openxmlformats.org/officeDocument/2006/relationships/hyperlink" Target="https://trustees.osu.edu/bylaws-and-rules/3335-8" TargetMode="External"/><Relationship Id="rId10" Type="http://schemas.openxmlformats.org/officeDocument/2006/relationships/hyperlink" Target="https://mcc.osu.edu/about-us/land-acknowledgement" TargetMode="External"/><Relationship Id="rId4" Type="http://schemas.openxmlformats.org/officeDocument/2006/relationships/webSettings" Target="webSettings.xml"/><Relationship Id="rId9" Type="http://schemas.openxmlformats.org/officeDocument/2006/relationships/hyperlink" Target="https://oaa.osu.edu/ohio-state-g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4952</Characters>
  <Application>Microsoft Office Word</Application>
  <DocSecurity>0</DocSecurity>
  <Lines>90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Steele, Rachel L.</dc:creator>
  <cp:lastModifiedBy>Steele, Rachel</cp:lastModifiedBy>
  <cp:revision>3</cp:revision>
  <cp:lastPrinted>2021-10-20T18:27:00Z</cp:lastPrinted>
  <dcterms:created xsi:type="dcterms:W3CDTF">2021-11-23T18:19:00Z</dcterms:created>
  <dcterms:modified xsi:type="dcterms:W3CDTF">2021-11-23T18:20:00Z</dcterms:modified>
</cp:coreProperties>
</file>